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4F" w:rsidRDefault="00FE7253" w:rsidP="00152B1B">
      <w:pPr>
        <w:rPr>
          <w:rFonts w:ascii="Times New Roman" w:eastAsia="ＭＳ Ｐ明朝" w:hAnsi="Times New Roman"/>
          <w:b/>
          <w:kern w:val="0"/>
          <w:sz w:val="36"/>
          <w:szCs w:val="36"/>
        </w:rPr>
      </w:pPr>
      <w:r>
        <w:rPr>
          <w:rFonts w:ascii="Times New Roman" w:eastAsia="ＭＳ Ｐ明朝" w:hAnsi="Times New Roman"/>
          <w:b/>
          <w:kern w:val="0"/>
          <w:sz w:val="36"/>
          <w:szCs w:val="36"/>
        </w:rPr>
        <w:t>General Regard</w:t>
      </w:r>
      <w:r w:rsidR="00593805">
        <w:rPr>
          <w:rFonts w:ascii="Times New Roman" w:eastAsia="ＭＳ Ｐ明朝" w:hAnsi="Times New Roman"/>
          <w:b/>
          <w:kern w:val="0"/>
          <w:sz w:val="36"/>
          <w:szCs w:val="36"/>
        </w:rPr>
        <w:t xml:space="preserve"> for Each Guideline</w:t>
      </w:r>
      <w:r w:rsidR="0066684F" w:rsidRPr="00CA746E">
        <w:rPr>
          <w:rFonts w:ascii="Times New Roman" w:eastAsia="ＭＳ Ｐ明朝" w:hAnsi="Times New Roman"/>
          <w:b/>
          <w:kern w:val="0"/>
          <w:sz w:val="36"/>
          <w:szCs w:val="36"/>
        </w:rPr>
        <w:t xml:space="preserve"> (</w:t>
      </w:r>
      <w:r w:rsidR="0066684F">
        <w:rPr>
          <w:rFonts w:ascii="Times New Roman" w:eastAsia="ＭＳ Ｐ明朝" w:hAnsi="Times New Roman" w:hint="eastAsia"/>
          <w:b/>
          <w:kern w:val="0"/>
          <w:sz w:val="36"/>
          <w:szCs w:val="36"/>
        </w:rPr>
        <w:t>Pre-d</w:t>
      </w:r>
      <w:r w:rsidR="0066684F" w:rsidRPr="00CA746E">
        <w:rPr>
          <w:rFonts w:ascii="Times New Roman" w:eastAsia="ＭＳ Ｐ明朝" w:hAnsi="Times New Roman"/>
          <w:b/>
          <w:kern w:val="0"/>
          <w:sz w:val="36"/>
          <w:szCs w:val="36"/>
        </w:rPr>
        <w:t>raft)</w:t>
      </w:r>
    </w:p>
    <w:p w:rsidR="0066684F" w:rsidRPr="00CA746E" w:rsidRDefault="0066684F" w:rsidP="00B645C4">
      <w:pPr>
        <w:jc w:val="left"/>
        <w:rPr>
          <w:rFonts w:ascii="Times New Roman" w:eastAsia="ＭＳ Ｐ明朝" w:hAnsi="Times New Roman"/>
          <w:kern w:val="0"/>
          <w:sz w:val="20"/>
        </w:rPr>
      </w:pPr>
    </w:p>
    <w:p w:rsidR="0066684F" w:rsidRPr="00CA746E" w:rsidRDefault="0066684F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CA746E">
        <w:rPr>
          <w:rFonts w:ascii="Times New Roman" w:eastAsia="ＭＳ Ｐ明朝" w:hAnsi="Times New Roman"/>
          <w:b/>
          <w:kern w:val="0"/>
          <w:sz w:val="28"/>
          <w:szCs w:val="28"/>
        </w:rPr>
        <w:t>Preamble</w:t>
      </w:r>
    </w:p>
    <w:p w:rsidR="0066684F" w:rsidRPr="00CA746E" w:rsidRDefault="00FE7253" w:rsidP="00B645C4">
      <w:pPr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/>
          <w:kern w:val="0"/>
          <w:sz w:val="24"/>
          <w:szCs w:val="24"/>
        </w:rPr>
        <w:t>This regard</w:t>
      </w:r>
      <w:r w:rsidR="0066684F" w:rsidRPr="00CA746E">
        <w:rPr>
          <w:rFonts w:ascii="Times New Roman" w:eastAsia="ＭＳ Ｐ明朝" w:hAnsi="Times New Roman"/>
          <w:kern w:val="0"/>
          <w:sz w:val="24"/>
          <w:szCs w:val="24"/>
        </w:rPr>
        <w:t xml:space="preserve"> treat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>s</w:t>
      </w:r>
      <w:r w:rsidR="0066684F" w:rsidRPr="00CA746E">
        <w:rPr>
          <w:rFonts w:ascii="Times New Roman" w:eastAsia="ＭＳ Ｐ明朝" w:hAnsi="Times New Roman"/>
          <w:kern w:val="0"/>
          <w:sz w:val="24"/>
          <w:szCs w:val="24"/>
        </w:rPr>
        <w:t xml:space="preserve"> general items for each </w:t>
      </w:r>
      <w:r w:rsidR="00A20953">
        <w:rPr>
          <w:rFonts w:ascii="Times New Roman" w:eastAsia="ＭＳ Ｐ明朝" w:hAnsi="Times New Roman" w:hint="eastAsia"/>
          <w:kern w:val="0"/>
          <w:sz w:val="24"/>
          <w:szCs w:val="24"/>
        </w:rPr>
        <w:t>detail g</w:t>
      </w:r>
      <w:r w:rsidR="00593805">
        <w:rPr>
          <w:rFonts w:ascii="Times New Roman" w:eastAsia="ＭＳ Ｐ明朝" w:hAnsi="Times New Roman"/>
          <w:kern w:val="0"/>
          <w:sz w:val="24"/>
          <w:szCs w:val="24"/>
        </w:rPr>
        <w:t>uideline</w:t>
      </w:r>
      <w:r w:rsidR="0066684F" w:rsidRPr="00CA746E">
        <w:rPr>
          <w:rFonts w:ascii="Times New Roman" w:eastAsia="ＭＳ Ｐ明朝" w:hAnsi="Times New Roman"/>
          <w:kern w:val="0"/>
          <w:sz w:val="24"/>
          <w:szCs w:val="24"/>
        </w:rPr>
        <w:t>.</w:t>
      </w:r>
      <w:r w:rsidR="00280515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　　</w:t>
      </w:r>
    </w:p>
    <w:p w:rsidR="0066684F" w:rsidRDefault="0066684F" w:rsidP="00B645C4">
      <w:pPr>
        <w:jc w:val="left"/>
        <w:rPr>
          <w:rFonts w:ascii="Times New Roman" w:hAnsi="Times New Roman"/>
        </w:rPr>
      </w:pPr>
    </w:p>
    <w:p w:rsidR="0066684F" w:rsidRPr="00CA746E" w:rsidRDefault="00A4476B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A4476B">
        <w:rPr>
          <w:rFonts w:ascii="Times New Roman" w:eastAsia="ＭＳ Ｐ明朝" w:hAnsi="Times New Roman" w:hint="eastAsia"/>
          <w:b/>
          <w:kern w:val="0"/>
          <w:sz w:val="28"/>
          <w:szCs w:val="28"/>
        </w:rPr>
        <w:t>1.</w:t>
      </w: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 </w:t>
      </w:r>
      <w:r w:rsidR="0066684F">
        <w:rPr>
          <w:rFonts w:ascii="Times New Roman" w:eastAsia="ＭＳ Ｐ明朝" w:hAnsi="Times New Roman" w:hint="eastAsia"/>
          <w:b/>
          <w:kern w:val="0"/>
          <w:sz w:val="28"/>
          <w:szCs w:val="28"/>
        </w:rPr>
        <w:t>Applicability/ Effect (Force of constraint)</w:t>
      </w:r>
    </w:p>
    <w:p w:rsidR="0066684F" w:rsidRDefault="0066684F" w:rsidP="00152B1B">
      <w:pPr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All </w:t>
      </w:r>
      <w:r>
        <w:rPr>
          <w:rFonts w:ascii="Times New Roman" w:eastAsia="ＭＳ Ｐ明朝" w:hAnsi="Times New Roman"/>
          <w:kern w:val="0"/>
          <w:sz w:val="24"/>
          <w:szCs w:val="24"/>
        </w:rPr>
        <w:t>guidelines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provide all members of TCTF community with useful information on CMC</w:t>
      </w:r>
      <w:r w:rsidR="004D0C96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and calibration service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. They can be used as a one of </w:t>
      </w:r>
      <w:r w:rsidR="004D0C96">
        <w:rPr>
          <w:rFonts w:ascii="Times New Roman" w:eastAsia="ＭＳ Ｐ明朝" w:hAnsi="Times New Roman" w:hint="eastAsia"/>
          <w:kern w:val="0"/>
          <w:sz w:val="24"/>
          <w:szCs w:val="24"/>
        </w:rPr>
        <w:t>good references for evaluating C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alibration </w:t>
      </w:r>
      <w:r w:rsidR="004D0C96">
        <w:rPr>
          <w:rFonts w:ascii="Times New Roman" w:eastAsia="ＭＳ Ｐ明朝" w:hAnsi="Times New Roman" w:hint="eastAsia"/>
          <w:kern w:val="0"/>
          <w:sz w:val="24"/>
          <w:szCs w:val="24"/>
        </w:rPr>
        <w:t>and M</w:t>
      </w:r>
      <w:r>
        <w:rPr>
          <w:rFonts w:ascii="Times New Roman" w:eastAsia="ＭＳ Ｐ明朝" w:hAnsi="Times New Roman"/>
          <w:kern w:val="0"/>
          <w:sz w:val="24"/>
          <w:szCs w:val="24"/>
        </w:rPr>
        <w:t>easurement</w:t>
      </w:r>
      <w:r w:rsidR="004D0C96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Capabilities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. However, each organization has own individual systems, history and </w:t>
      </w:r>
      <w:r>
        <w:rPr>
          <w:rFonts w:ascii="Times New Roman" w:eastAsia="ＭＳ Ｐ明朝" w:hAnsi="Times New Roman"/>
          <w:kern w:val="0"/>
          <w:sz w:val="24"/>
          <w:szCs w:val="24"/>
        </w:rPr>
        <w:t>their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customers. These conditions should be respected. Therefore, all </w:t>
      </w:r>
      <w:r>
        <w:rPr>
          <w:rFonts w:ascii="Times New Roman" w:eastAsia="ＭＳ Ｐ明朝" w:hAnsi="Times New Roman"/>
          <w:kern w:val="0"/>
          <w:sz w:val="24"/>
          <w:szCs w:val="24"/>
        </w:rPr>
        <w:t>guidelines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can be appropriately </w:t>
      </w:r>
      <w:r>
        <w:rPr>
          <w:rFonts w:ascii="Times New Roman" w:eastAsia="ＭＳ Ｐ明朝" w:hAnsi="Times New Roman"/>
          <w:kern w:val="0"/>
          <w:sz w:val="24"/>
          <w:szCs w:val="24"/>
        </w:rPr>
        <w:t>amended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in each organization if it is necessary. </w:t>
      </w:r>
    </w:p>
    <w:p w:rsidR="0066684F" w:rsidRDefault="0066684F" w:rsidP="00B645C4">
      <w:pPr>
        <w:jc w:val="left"/>
        <w:rPr>
          <w:rFonts w:ascii="Times New Roman" w:eastAsia="ＭＳ Ｐ明朝" w:hAnsi="Times New Roman"/>
          <w:kern w:val="0"/>
          <w:sz w:val="24"/>
          <w:szCs w:val="24"/>
        </w:rPr>
      </w:pPr>
    </w:p>
    <w:p w:rsidR="0066684F" w:rsidRPr="00CA746E" w:rsidRDefault="00A4476B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2. </w:t>
      </w:r>
      <w:r w:rsidR="0066684F">
        <w:rPr>
          <w:rFonts w:ascii="Times New Roman" w:eastAsia="ＭＳ Ｐ明朝" w:hAnsi="Times New Roman" w:hint="eastAsia"/>
          <w:b/>
          <w:kern w:val="0"/>
          <w:sz w:val="28"/>
          <w:szCs w:val="28"/>
        </w:rPr>
        <w:t>Frame</w:t>
      </w:r>
      <w:r w:rsidR="0003249B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 (Structure)</w:t>
      </w:r>
    </w:p>
    <w:p w:rsidR="0066684F" w:rsidRDefault="0066684F" w:rsidP="00B645C4">
      <w:pPr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All </w:t>
      </w:r>
      <w:r>
        <w:rPr>
          <w:rFonts w:ascii="Times New Roman" w:eastAsia="ＭＳ Ｐ明朝" w:hAnsi="Times New Roman"/>
          <w:kern w:val="0"/>
          <w:sz w:val="24"/>
          <w:szCs w:val="24"/>
        </w:rPr>
        <w:t>guidelines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are as follows.</w:t>
      </w:r>
    </w:p>
    <w:p w:rsidR="008862CF" w:rsidRDefault="008862CF" w:rsidP="00B645C4">
      <w:pPr>
        <w:jc w:val="left"/>
        <w:rPr>
          <w:rFonts w:ascii="Times New Roman" w:eastAsia="ＭＳ Ｐ明朝" w:hAnsi="Times New Roman"/>
          <w:kern w:val="0"/>
          <w:sz w:val="24"/>
          <w:szCs w:val="24"/>
        </w:rPr>
      </w:pPr>
    </w:p>
    <w:p w:rsidR="00016857" w:rsidRDefault="00016857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*</w:t>
      </w:r>
      <w:r w:rsidRPr="00016857">
        <w:rPr>
          <w:rFonts w:ascii="Times New Roman" w:eastAsia="ＭＳ Ｐ明朝" w:hAnsi="Times New Roman"/>
          <w:kern w:val="0"/>
          <w:sz w:val="24"/>
          <w:szCs w:val="24"/>
        </w:rPr>
        <w:t>Gen</w:t>
      </w:r>
      <w:r w:rsidR="00593805">
        <w:rPr>
          <w:rFonts w:ascii="Times New Roman" w:eastAsia="ＭＳ Ｐ明朝" w:hAnsi="Times New Roman"/>
          <w:kern w:val="0"/>
          <w:sz w:val="24"/>
          <w:szCs w:val="24"/>
        </w:rPr>
        <w:t>eral Regards for Each Guideline</w:t>
      </w:r>
      <w:r w:rsidRPr="00016857">
        <w:rPr>
          <w:rFonts w:ascii="Times New Roman" w:eastAsia="ＭＳ Ｐ明朝" w:hAnsi="Times New Roman"/>
          <w:kern w:val="0"/>
          <w:sz w:val="24"/>
          <w:szCs w:val="24"/>
        </w:rPr>
        <w:t xml:space="preserve"> (Pre-draft)</w:t>
      </w:r>
    </w:p>
    <w:p w:rsidR="00016857" w:rsidRDefault="00016857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(1) Frequency calibration</w:t>
      </w:r>
    </w:p>
    <w:p w:rsidR="00016857" w:rsidRDefault="00016857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(2) Time interval</w:t>
      </w:r>
    </w:p>
    <w:p w:rsidR="00016857" w:rsidRDefault="00016857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(3) Time scale difference</w:t>
      </w:r>
    </w:p>
    <w:p w:rsidR="008862CF" w:rsidRDefault="008862CF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</w:p>
    <w:p w:rsidR="008862CF" w:rsidRDefault="00567E73" w:rsidP="00B645C4">
      <w:pPr>
        <w:ind w:left="360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>Suppl</w:t>
      </w:r>
      <w:r w:rsidR="008862CF">
        <w:rPr>
          <w:rFonts w:ascii="Times New Roman" w:eastAsia="ＭＳ Ｐ明朝" w:hAnsi="Times New Roman" w:hint="eastAsia"/>
          <w:kern w:val="0"/>
          <w:sz w:val="24"/>
          <w:szCs w:val="24"/>
        </w:rPr>
        <w:t>emental</w:t>
      </w: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guides</w:t>
      </w:r>
      <w:r w:rsidR="008862CF"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 </w:t>
      </w:r>
    </w:p>
    <w:p w:rsidR="0066684F" w:rsidRPr="009721EC" w:rsidRDefault="00567E73" w:rsidP="00B645C4">
      <w:pPr>
        <w:ind w:left="360"/>
        <w:jc w:val="left"/>
        <w:rPr>
          <w:rFonts w:ascii="Times New Roman" w:hAnsi="Times New Roman"/>
        </w:rPr>
      </w:pPr>
      <w:r>
        <w:rPr>
          <w:rFonts w:ascii="Times New Roman" w:eastAsia="ＭＳ Ｐ明朝" w:hAnsi="Times New Roman" w:hint="eastAsia"/>
          <w:kern w:val="0"/>
          <w:sz w:val="24"/>
          <w:szCs w:val="24"/>
        </w:rPr>
        <w:t xml:space="preserve">(a) </w:t>
      </w:r>
      <w:r w:rsidR="0066684F">
        <w:rPr>
          <w:rFonts w:ascii="Times New Roman" w:eastAsia="ＭＳ Ｐ明朝" w:hAnsi="Times New Roman" w:hint="eastAsia"/>
          <w:kern w:val="0"/>
          <w:sz w:val="24"/>
          <w:szCs w:val="24"/>
        </w:rPr>
        <w:t>Basic attention for frequency calibration</w:t>
      </w:r>
    </w:p>
    <w:p w:rsidR="004D0C96" w:rsidRDefault="004D0C96" w:rsidP="00B645C4">
      <w:pPr>
        <w:jc w:val="left"/>
        <w:rPr>
          <w:rFonts w:ascii="Times New Roman" w:hAnsi="Times New Roman"/>
        </w:rPr>
      </w:pPr>
    </w:p>
    <w:p w:rsidR="0092448B" w:rsidRDefault="0092448B" w:rsidP="00B645C4">
      <w:pPr>
        <w:jc w:val="left"/>
        <w:rPr>
          <w:rFonts w:ascii="Times New Roman" w:hAnsi="Times New Roman"/>
        </w:rPr>
      </w:pPr>
    </w:p>
    <w:p w:rsidR="0003249B" w:rsidRPr="00CA746E" w:rsidRDefault="00152B1B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3</w:t>
      </w:r>
      <w:r w:rsidR="0003249B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. Estimation of </w:t>
      </w:r>
      <w:r w:rsidR="004D0C96" w:rsidRPr="004D0C96">
        <w:rPr>
          <w:rFonts w:ascii="Times New Roman" w:eastAsia="ＭＳ Ｐ明朝" w:hAnsi="Times New Roman"/>
          <w:b/>
          <w:kern w:val="0"/>
          <w:sz w:val="28"/>
          <w:szCs w:val="28"/>
        </w:rPr>
        <w:t>Calibrati</w:t>
      </w:r>
      <w:r w:rsidR="004D0C96">
        <w:rPr>
          <w:rFonts w:ascii="Times New Roman" w:eastAsia="ＭＳ Ｐ明朝" w:hAnsi="Times New Roman"/>
          <w:b/>
          <w:kern w:val="0"/>
          <w:sz w:val="28"/>
          <w:szCs w:val="28"/>
        </w:rPr>
        <w:t>on and Measurement Capabilities</w:t>
      </w:r>
      <w:r w:rsidR="0003249B"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 </w:t>
      </w:r>
    </w:p>
    <w:p w:rsidR="0003249B" w:rsidRDefault="0003249B" w:rsidP="00152B1B">
      <w:pPr>
        <w:rPr>
          <w:rFonts w:eastAsia="ＭＳ ゴシック" w:cs="Tahoma"/>
        </w:rPr>
      </w:pPr>
      <w:r>
        <w:rPr>
          <w:rFonts w:eastAsia="ＭＳ ゴシック" w:cs="Tahoma" w:hint="eastAsia"/>
        </w:rPr>
        <w:t xml:space="preserve">Combined standard uncertainty, </w:t>
      </w:r>
      <w:proofErr w:type="spellStart"/>
      <w:r w:rsidRPr="0003249B">
        <w:rPr>
          <w:rFonts w:eastAsia="ＭＳ ゴシック" w:cs="Tahoma" w:hint="eastAsia"/>
          <w:i/>
        </w:rPr>
        <w:t>u</w:t>
      </w:r>
      <w:r w:rsidR="00041C9F">
        <w:rPr>
          <w:rFonts w:eastAsia="ＭＳ ゴシック" w:cs="Tahoma" w:hint="eastAsia"/>
          <w:i/>
          <w:vertAlign w:val="subscript"/>
        </w:rPr>
        <w:t>CMC</w:t>
      </w:r>
      <w:proofErr w:type="spellEnd"/>
      <w:r>
        <w:rPr>
          <w:rFonts w:eastAsia="ＭＳ ゴシック" w:cs="Tahoma" w:hint="eastAsia"/>
        </w:rPr>
        <w:t xml:space="preserve">, shall be </w:t>
      </w:r>
      <w:r>
        <w:rPr>
          <w:rFonts w:eastAsia="ＭＳ ゴシック" w:cs="Tahoma"/>
        </w:rPr>
        <w:t>calculated</w:t>
      </w:r>
      <w:r>
        <w:rPr>
          <w:rFonts w:eastAsia="ＭＳ ゴシック" w:cs="Tahoma" w:hint="eastAsia"/>
        </w:rPr>
        <w:t xml:space="preserve"> by obtaining root-sum-squared (RS</w:t>
      </w:r>
      <w:r w:rsidR="00152B1B">
        <w:rPr>
          <w:rFonts w:eastAsia="ＭＳ ゴシック" w:cs="Tahoma" w:hint="eastAsia"/>
        </w:rPr>
        <w:t xml:space="preserve">S) of all sources of uncertainties. </w:t>
      </w:r>
      <w:r w:rsidR="00152B1B">
        <w:rPr>
          <w:rFonts w:eastAsia="ＭＳ ゴシック" w:cs="Tahoma"/>
        </w:rPr>
        <w:t>These</w:t>
      </w:r>
      <w:r w:rsidR="00152B1B">
        <w:rPr>
          <w:rFonts w:eastAsia="ＭＳ ゴシック" w:cs="Tahoma" w:hint="eastAsia"/>
        </w:rPr>
        <w:t xml:space="preserve"> uncertainties are classified into type A and type B uncertainty. </w:t>
      </w:r>
      <w:r>
        <w:rPr>
          <w:rFonts w:eastAsia="ＭＳ ゴシック" w:cs="Tahoma" w:hint="eastAsia"/>
        </w:rPr>
        <w:t xml:space="preserve">Expanded </w:t>
      </w:r>
      <w:r w:rsidR="00B645C4">
        <w:rPr>
          <w:rFonts w:eastAsia="ＭＳ ゴシック" w:cs="Tahoma" w:hint="eastAsia"/>
        </w:rPr>
        <w:t xml:space="preserve">standard </w:t>
      </w:r>
      <w:r>
        <w:rPr>
          <w:rFonts w:eastAsia="ＭＳ ゴシック" w:cs="Tahoma" w:hint="eastAsia"/>
        </w:rPr>
        <w:t xml:space="preserve">uncertainty, </w:t>
      </w:r>
      <w:r w:rsidRPr="00481A7F">
        <w:rPr>
          <w:rFonts w:eastAsia="ＭＳ ゴシック" w:cs="Tahoma" w:hint="eastAsia"/>
          <w:i/>
        </w:rPr>
        <w:t>U</w:t>
      </w:r>
      <w:r w:rsidR="00556D09">
        <w:rPr>
          <w:rFonts w:eastAsia="ＭＳ ゴシック" w:cs="Tahoma" w:hint="eastAsia"/>
          <w:i/>
          <w:vertAlign w:val="subscript"/>
        </w:rPr>
        <w:t>CMC</w:t>
      </w:r>
      <w:r>
        <w:rPr>
          <w:rFonts w:eastAsia="ＭＳ ゴシック" w:cs="Tahoma" w:hint="eastAsia"/>
        </w:rPr>
        <w:t xml:space="preserve">, shall be obtained with coverage factor of </w:t>
      </w:r>
      <w:r w:rsidRPr="00357D1C">
        <w:rPr>
          <w:rFonts w:eastAsia="ＭＳ ゴシック" w:cs="Tahoma" w:hint="eastAsia"/>
          <w:i/>
          <w:iCs/>
          <w:color w:val="000000"/>
        </w:rPr>
        <w:t>k</w:t>
      </w:r>
      <w:r w:rsidRPr="00357D1C">
        <w:rPr>
          <w:rFonts w:eastAsia="ＭＳ ゴシック" w:cs="Tahoma" w:hint="eastAsia"/>
          <w:color w:val="000000"/>
        </w:rPr>
        <w:t>=</w:t>
      </w:r>
      <w:r>
        <w:rPr>
          <w:rFonts w:eastAsia="ＭＳ ゴシック" w:cs="Tahoma" w:hint="eastAsia"/>
        </w:rPr>
        <w:t>2 if the effective de</w:t>
      </w:r>
      <w:r w:rsidR="00D45B19">
        <w:rPr>
          <w:rFonts w:eastAsia="ＭＳ ゴシック" w:cs="Tahoma" w:hint="eastAsia"/>
        </w:rPr>
        <w:t xml:space="preserve">gree of freedom is large enough to satisfy about a 95 % probability. </w:t>
      </w:r>
    </w:p>
    <w:p w:rsidR="0003249B" w:rsidRPr="00041C9F" w:rsidRDefault="0003249B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</w:p>
    <w:p w:rsidR="00556D09" w:rsidRPr="00152B1B" w:rsidRDefault="00152B1B" w:rsidP="00152B1B">
      <w:pPr>
        <w:ind w:firstLineChars="500" w:firstLine="1050"/>
        <w:jc w:val="left"/>
      </w:pPr>
      <w:r w:rsidRPr="00152B1B">
        <w:rPr>
          <w:position w:val="-30"/>
        </w:rPr>
        <w:object w:dxaOrig="1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8.25pt" o:ole="">
            <v:imagedata r:id="rId9" o:title=""/>
          </v:shape>
          <o:OLEObject Type="Embed" ProgID="Equation.3" ShapeID="_x0000_i1025" DrawAspect="Content" ObjectID="_1384673316" r:id="rId10"/>
        </w:object>
      </w:r>
      <w:r w:rsidR="004C2742">
        <w:rPr>
          <w:rFonts w:hint="eastAsia"/>
        </w:rPr>
        <w:t xml:space="preserve">　　　　　　　　　　　　　</w:t>
      </w:r>
      <w:r w:rsidR="004C2742">
        <w:rPr>
          <w:rFonts w:hint="eastAsia"/>
        </w:rPr>
        <w:t>(1)</w:t>
      </w:r>
    </w:p>
    <w:p w:rsidR="00CA746E" w:rsidRDefault="0003249B" w:rsidP="00B645C4">
      <w:pPr>
        <w:jc w:val="left"/>
      </w:pPr>
      <w:r w:rsidRPr="00866376">
        <w:rPr>
          <w:rFonts w:hAnsi="ＭＳ 明朝"/>
        </w:rPr>
        <w:lastRenderedPageBreak/>
        <w:t xml:space="preserve">　　</w:t>
      </w:r>
      <w:r>
        <w:rPr>
          <w:rFonts w:hAnsi="ＭＳ 明朝" w:hint="eastAsia"/>
        </w:rPr>
        <w:t xml:space="preserve">      </w:t>
      </w:r>
      <w:r w:rsidR="000B5EE4" w:rsidRPr="00556D09">
        <w:rPr>
          <w:position w:val="-30"/>
        </w:rPr>
        <w:object w:dxaOrig="1480" w:dyaOrig="720">
          <v:shape id="_x0000_i1026" type="#_x0000_t75" style="width:73.5pt;height:36pt" o:ole="">
            <v:imagedata r:id="rId11" o:title=""/>
          </v:shape>
          <o:OLEObject Type="Embed" ProgID="Equation.3" ShapeID="_x0000_i1026" DrawAspect="Content" ObjectID="_1384673317" r:id="rId12"/>
        </w:object>
      </w:r>
      <w:bookmarkStart w:id="0" w:name="_PictureBullets"/>
      <w:bookmarkEnd w:id="0"/>
    </w:p>
    <w:p w:rsidR="006819C1" w:rsidRDefault="00556D09" w:rsidP="00B645C4">
      <w:pPr>
        <w:ind w:firstLineChars="750" w:firstLine="1575"/>
        <w:jc w:val="left"/>
      </w:pPr>
      <w:r w:rsidRPr="005A3702">
        <w:rPr>
          <w:position w:val="-12"/>
        </w:rPr>
        <w:object w:dxaOrig="859" w:dyaOrig="360">
          <v:shape id="_x0000_i1027" type="#_x0000_t75" style="width:42.75pt;height:18pt" o:ole="">
            <v:imagedata r:id="rId13" o:title=""/>
          </v:shape>
          <o:OLEObject Type="Embed" ProgID="Equation.3" ShapeID="_x0000_i1027" DrawAspect="Content" ObjectID="_1384673318" r:id="rId14"/>
        </w:object>
      </w:r>
      <w:r w:rsidR="004C2742">
        <w:rPr>
          <w:rFonts w:hint="eastAsia"/>
        </w:rPr>
        <w:t xml:space="preserve">                                         (2)</w:t>
      </w:r>
    </w:p>
    <w:p w:rsidR="00556D09" w:rsidRDefault="00556D09" w:rsidP="00B645C4">
      <w:pPr>
        <w:ind w:firstLineChars="750" w:firstLine="1575"/>
        <w:jc w:val="left"/>
      </w:pPr>
    </w:p>
    <w:p w:rsidR="00556D09" w:rsidRDefault="00556D09" w:rsidP="00B645C4">
      <w:pPr>
        <w:ind w:firstLineChars="750" w:firstLine="1575"/>
        <w:jc w:val="left"/>
      </w:pPr>
    </w:p>
    <w:p w:rsidR="006819C1" w:rsidRPr="00CA746E" w:rsidRDefault="00152B1B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4</w:t>
      </w:r>
      <w:r w:rsidR="00820E46">
        <w:rPr>
          <w:rFonts w:ascii="Times New Roman" w:eastAsia="ＭＳ Ｐ明朝" w:hAnsi="Times New Roman" w:hint="eastAsia"/>
          <w:b/>
          <w:kern w:val="0"/>
          <w:sz w:val="28"/>
          <w:szCs w:val="28"/>
        </w:rPr>
        <w:t>. Treatment for fluctuation of DUT</w:t>
      </w:r>
    </w:p>
    <w:p w:rsidR="004D0C96" w:rsidRDefault="00885E49" w:rsidP="00152B1B">
      <w:pPr>
        <w:rPr>
          <w:rFonts w:eastAsia="ＭＳ ゴシック" w:cs="Tahoma" w:hint="eastAsia"/>
          <w:szCs w:val="21"/>
        </w:rPr>
      </w:pPr>
      <w:r w:rsidRPr="00A017D3">
        <w:rPr>
          <w:rFonts w:eastAsia="ＭＳ ゴシック" w:cs="Tahoma" w:hint="eastAsia"/>
          <w:szCs w:val="21"/>
        </w:rPr>
        <w:t xml:space="preserve">Uncertainty caused by DUT fluctuation </w:t>
      </w:r>
      <w:r w:rsidR="00F43618" w:rsidRPr="00A017D3">
        <w:rPr>
          <w:rFonts w:eastAsia="ＭＳ ゴシック" w:cs="Tahoma" w:hint="eastAsia"/>
          <w:szCs w:val="21"/>
        </w:rPr>
        <w:t xml:space="preserve">is </w:t>
      </w:r>
      <w:r w:rsidR="009E5DEA" w:rsidRPr="00A017D3">
        <w:rPr>
          <w:rFonts w:eastAsia="ＭＳ ゴシック" w:cs="Tahoma" w:hint="eastAsia"/>
          <w:szCs w:val="21"/>
        </w:rPr>
        <w:t>excluded in CMC evaluation</w:t>
      </w:r>
      <w:r w:rsidR="002A3E70" w:rsidRPr="00A017D3">
        <w:rPr>
          <w:rFonts w:eastAsia="ＭＳ ゴシック" w:cs="Tahoma" w:hint="eastAsia"/>
          <w:szCs w:val="21"/>
        </w:rPr>
        <w:t xml:space="preserve"> as shown in 3 and 4. </w:t>
      </w:r>
      <w:r w:rsidR="006C7DEC" w:rsidRPr="00A017D3">
        <w:rPr>
          <w:rFonts w:eastAsia="ＭＳ ゴシック" w:cs="Tahoma" w:hint="eastAsia"/>
          <w:szCs w:val="21"/>
        </w:rPr>
        <w:t xml:space="preserve">This is compliant with the </w:t>
      </w:r>
      <w:r w:rsidR="006C7DEC" w:rsidRPr="00A017D3">
        <w:rPr>
          <w:rFonts w:eastAsia="ＭＳ ゴシック" w:cs="Tahoma"/>
          <w:szCs w:val="21"/>
        </w:rPr>
        <w:t>approval</w:t>
      </w:r>
      <w:r w:rsidR="006C7DEC" w:rsidRPr="00A017D3">
        <w:rPr>
          <w:rFonts w:eastAsia="ＭＳ ゴシック" w:cs="Tahoma" w:hint="eastAsia"/>
          <w:szCs w:val="21"/>
        </w:rPr>
        <w:t xml:space="preserve"> in the CCTF. </w:t>
      </w:r>
      <w:r w:rsidR="002A3E70" w:rsidRPr="00A017D3">
        <w:rPr>
          <w:rFonts w:eastAsia="ＭＳ ゴシック" w:cs="Tahoma" w:hint="eastAsia"/>
          <w:szCs w:val="21"/>
        </w:rPr>
        <w:t xml:space="preserve">The </w:t>
      </w:r>
      <w:r w:rsidR="004D0C96" w:rsidRPr="00A017D3">
        <w:rPr>
          <w:rFonts w:eastAsia="ＭＳ ゴシック" w:cs="Tahoma" w:hint="eastAsia"/>
          <w:szCs w:val="21"/>
        </w:rPr>
        <w:t xml:space="preserve">DUT </w:t>
      </w:r>
      <w:r w:rsidR="002A3E70" w:rsidRPr="00A017D3">
        <w:rPr>
          <w:rFonts w:eastAsia="ＭＳ ゴシック" w:cs="Tahoma" w:hint="eastAsia"/>
          <w:szCs w:val="21"/>
        </w:rPr>
        <w:t>uncertainty has to be counted in an actual calibration service</w:t>
      </w:r>
      <w:r w:rsidR="0088126E" w:rsidRPr="00A017D3">
        <w:rPr>
          <w:rFonts w:eastAsia="ＭＳ ゴシック" w:cs="Tahoma" w:hint="eastAsia"/>
          <w:szCs w:val="21"/>
        </w:rPr>
        <w:t xml:space="preserve"> with </w:t>
      </w:r>
      <w:r w:rsidR="0088126E" w:rsidRPr="00A017D3">
        <w:rPr>
          <w:rFonts w:eastAsia="ＭＳ ゴシック" w:cs="Tahoma"/>
          <w:szCs w:val="21"/>
        </w:rPr>
        <w:t>appropriate</w:t>
      </w:r>
      <w:r w:rsidR="0088126E" w:rsidRPr="00A017D3">
        <w:rPr>
          <w:rFonts w:eastAsia="ＭＳ ゴシック" w:cs="Tahoma" w:hint="eastAsia"/>
          <w:szCs w:val="21"/>
        </w:rPr>
        <w:t xml:space="preserve"> number of times for measurement. </w:t>
      </w:r>
      <w:r w:rsidR="0088126E" w:rsidRPr="00A017D3">
        <w:rPr>
          <w:rFonts w:ascii="Times New Roman" w:eastAsia="ＭＳ Ｐ明朝" w:hAnsi="Times New Roman" w:hint="eastAsia"/>
          <w:kern w:val="0"/>
          <w:szCs w:val="21"/>
        </w:rPr>
        <w:t xml:space="preserve">The </w:t>
      </w:r>
      <w:r w:rsidR="00186A92" w:rsidRPr="00A017D3">
        <w:rPr>
          <w:rFonts w:ascii="Times New Roman" w:eastAsia="ＭＳ Ｐ明朝" w:hAnsi="Times New Roman" w:hint="eastAsia"/>
          <w:kern w:val="0"/>
          <w:szCs w:val="21"/>
        </w:rPr>
        <w:t xml:space="preserve">supplemental guide </w:t>
      </w:r>
      <w:r w:rsidR="0088126E" w:rsidRPr="00A017D3">
        <w:rPr>
          <w:rFonts w:ascii="Times New Roman" w:eastAsia="ＭＳ Ｐ明朝" w:hAnsi="Times New Roman"/>
          <w:kern w:val="0"/>
          <w:szCs w:val="21"/>
        </w:rPr>
        <w:t>“</w:t>
      </w:r>
      <w:r w:rsidR="0088126E" w:rsidRPr="00A017D3">
        <w:rPr>
          <w:rFonts w:ascii="Times New Roman" w:eastAsia="ＭＳ Ｐ明朝" w:hAnsi="Times New Roman" w:hint="eastAsia"/>
          <w:kern w:val="0"/>
          <w:szCs w:val="21"/>
        </w:rPr>
        <w:t>Basic attention for frequency calibration</w:t>
      </w:r>
      <w:r w:rsidR="0088126E" w:rsidRPr="00A017D3">
        <w:rPr>
          <w:rFonts w:ascii="Times New Roman" w:eastAsia="ＭＳ Ｐ明朝" w:hAnsi="Times New Roman"/>
          <w:kern w:val="0"/>
          <w:szCs w:val="21"/>
        </w:rPr>
        <w:t>”</w:t>
      </w:r>
      <w:r w:rsidR="0088126E" w:rsidRPr="00A017D3">
        <w:rPr>
          <w:rFonts w:ascii="Times New Roman" w:eastAsia="ＭＳ Ｐ明朝" w:hAnsi="Times New Roman" w:hint="eastAsia"/>
          <w:kern w:val="0"/>
          <w:szCs w:val="21"/>
        </w:rPr>
        <w:t xml:space="preserve"> provides the information on</w:t>
      </w:r>
      <w:r w:rsidR="0088126E" w:rsidRPr="00A017D3">
        <w:rPr>
          <w:rFonts w:ascii="Times New Roman" w:hAnsi="Times New Roman" w:hint="eastAsia"/>
          <w:szCs w:val="21"/>
        </w:rPr>
        <w:t xml:space="preserve"> n</w:t>
      </w:r>
      <w:r w:rsidR="0088126E" w:rsidRPr="00A017D3">
        <w:rPr>
          <w:rFonts w:eastAsia="ＭＳ ゴシック" w:cs="Tahoma" w:hint="eastAsia"/>
          <w:szCs w:val="21"/>
        </w:rPr>
        <w:t>umber of measurement and the effectiv</w:t>
      </w:r>
      <w:r w:rsidR="00186A92" w:rsidRPr="00A017D3">
        <w:rPr>
          <w:rFonts w:eastAsia="ＭＳ ゴシック" w:cs="Tahoma" w:hint="eastAsia"/>
          <w:szCs w:val="21"/>
        </w:rPr>
        <w:t>e degree of freedom.</w:t>
      </w:r>
      <w:r w:rsidR="0088126E" w:rsidRPr="00A017D3">
        <w:rPr>
          <w:rFonts w:eastAsia="ＭＳ ゴシック" w:cs="Tahoma" w:hint="eastAsia"/>
          <w:szCs w:val="21"/>
        </w:rPr>
        <w:t xml:space="preserve"> </w:t>
      </w:r>
    </w:p>
    <w:p w:rsidR="00A017D3" w:rsidRPr="00A017D3" w:rsidRDefault="00A017D3" w:rsidP="00152B1B">
      <w:pPr>
        <w:rPr>
          <w:rFonts w:eastAsia="ＭＳ ゴシック" w:cs="Tahoma"/>
          <w:szCs w:val="21"/>
        </w:rPr>
      </w:pPr>
      <w:r>
        <w:rPr>
          <w:rFonts w:eastAsia="ＭＳ ゴシック" w:cs="Tahoma" w:hint="eastAsia"/>
          <w:szCs w:val="21"/>
        </w:rPr>
        <w:t>It should be clearly mentioned that the effect of the DUT is included or excluded in the estimation.</w:t>
      </w:r>
      <w:bookmarkStart w:id="1" w:name="_GoBack"/>
      <w:bookmarkEnd w:id="1"/>
    </w:p>
    <w:p w:rsidR="004D0C96" w:rsidRPr="00A017D3" w:rsidRDefault="004D0C96" w:rsidP="00B645C4">
      <w:pPr>
        <w:jc w:val="left"/>
        <w:rPr>
          <w:rFonts w:eastAsia="ＭＳ ゴシック" w:cs="Tahoma"/>
          <w:szCs w:val="21"/>
        </w:rPr>
      </w:pPr>
    </w:p>
    <w:p w:rsidR="00041C9F" w:rsidRPr="00CA746E" w:rsidRDefault="004D0C96" w:rsidP="00B645C4">
      <w:pPr>
        <w:jc w:val="left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 xml:space="preserve">6. </w:t>
      </w:r>
      <w:r w:rsidR="00041C9F">
        <w:rPr>
          <w:rFonts w:ascii="Times New Roman" w:eastAsia="ＭＳ Ｐ明朝" w:hAnsi="Times New Roman" w:hint="eastAsia"/>
          <w:b/>
          <w:kern w:val="0"/>
          <w:sz w:val="28"/>
          <w:szCs w:val="28"/>
        </w:rPr>
        <w:t>Uncertainty in calibration service</w:t>
      </w:r>
    </w:p>
    <w:p w:rsidR="000B5EE4" w:rsidRDefault="00D57C40" w:rsidP="00B645C4">
      <w:pPr>
        <w:jc w:val="left"/>
        <w:rPr>
          <w:rFonts w:eastAsia="ＭＳ ゴシック" w:cs="Tahoma"/>
        </w:rPr>
      </w:pPr>
      <w:r>
        <w:rPr>
          <w:rFonts w:eastAsia="ＭＳ ゴシック" w:cs="Tahoma" w:hint="eastAsia"/>
        </w:rPr>
        <w:t>U</w:t>
      </w:r>
      <w:r w:rsidR="000B5EE4">
        <w:rPr>
          <w:rFonts w:eastAsia="ＭＳ ゴシック" w:cs="Tahoma" w:hint="eastAsia"/>
        </w:rPr>
        <w:t xml:space="preserve">ncertainty in measurement of DUT </w:t>
      </w:r>
      <w:r w:rsidR="00152B1B">
        <w:rPr>
          <w:rFonts w:eastAsia="ＭＳ ゴシック" w:cs="Tahoma" w:hint="eastAsia"/>
        </w:rPr>
        <w:t>(</w:t>
      </w:r>
      <w:proofErr w:type="spellStart"/>
      <w:r w:rsidR="00152B1B" w:rsidRPr="00B645C4">
        <w:rPr>
          <w:rFonts w:eastAsia="ＭＳ ゴシック" w:cs="Tahoma" w:hint="eastAsia"/>
          <w:i/>
        </w:rPr>
        <w:t>u</w:t>
      </w:r>
      <w:r w:rsidR="00152B1B" w:rsidRPr="000873EB">
        <w:rPr>
          <w:rFonts w:eastAsia="ＭＳ ゴシック" w:cs="Tahoma" w:hint="eastAsia"/>
          <w:i/>
          <w:vertAlign w:val="subscript"/>
        </w:rPr>
        <w:t>DUT</w:t>
      </w:r>
      <w:proofErr w:type="spellEnd"/>
      <w:r w:rsidR="00152B1B">
        <w:rPr>
          <w:rFonts w:eastAsia="ＭＳ ゴシック" w:cs="Tahoma" w:hint="eastAsia"/>
        </w:rPr>
        <w:t xml:space="preserve">) </w:t>
      </w:r>
      <w:r w:rsidR="000B5EE4">
        <w:rPr>
          <w:rFonts w:eastAsia="ＭＳ ゴシック" w:cs="Tahoma" w:hint="eastAsia"/>
        </w:rPr>
        <w:t xml:space="preserve">is obtained from </w:t>
      </w:r>
      <w:r>
        <w:rPr>
          <w:rFonts w:eastAsia="ＭＳ ゴシック" w:cs="Tahoma" w:hint="eastAsia"/>
        </w:rPr>
        <w:t xml:space="preserve">the </w:t>
      </w:r>
      <w:r w:rsidR="00BD7D83">
        <w:rPr>
          <w:rFonts w:eastAsia="ＭＳ ゴシック" w:cs="Tahoma" w:hint="eastAsia"/>
        </w:rPr>
        <w:t xml:space="preserve">experimental </w:t>
      </w:r>
      <w:r w:rsidR="000B5EE4">
        <w:rPr>
          <w:rFonts w:eastAsia="ＭＳ ゴシック" w:cs="Tahoma" w:hint="eastAsia"/>
        </w:rPr>
        <w:t>standard deviation. So combined standard uncertainty</w:t>
      </w:r>
      <w:r w:rsidR="00B645C4">
        <w:rPr>
          <w:rFonts w:eastAsia="ＭＳ ゴシック" w:cs="Tahoma" w:hint="eastAsia"/>
        </w:rPr>
        <w:t xml:space="preserve"> </w:t>
      </w:r>
      <w:proofErr w:type="spellStart"/>
      <w:r w:rsidR="00B645C4" w:rsidRPr="00B645C4">
        <w:rPr>
          <w:rFonts w:eastAsia="ＭＳ ゴシック" w:cs="Tahoma" w:hint="eastAsia"/>
          <w:i/>
        </w:rPr>
        <w:t>u</w:t>
      </w:r>
      <w:r w:rsidR="00B645C4">
        <w:rPr>
          <w:rFonts w:eastAsia="ＭＳ ゴシック" w:cs="Tahoma" w:hint="eastAsia"/>
          <w:vertAlign w:val="subscript"/>
        </w:rPr>
        <w:t>CAL</w:t>
      </w:r>
      <w:proofErr w:type="spellEnd"/>
      <w:r w:rsidR="000B5EE4">
        <w:rPr>
          <w:rFonts w:eastAsia="ＭＳ ゴシック" w:cs="Tahoma" w:hint="eastAsia"/>
        </w:rPr>
        <w:t xml:space="preserve"> is derived from </w:t>
      </w:r>
      <w:proofErr w:type="spellStart"/>
      <w:r w:rsidR="000B5EE4" w:rsidRPr="000873EB">
        <w:rPr>
          <w:rFonts w:eastAsia="ＭＳ ゴシック" w:cs="Tahoma" w:hint="eastAsia"/>
          <w:i/>
        </w:rPr>
        <w:t>u</w:t>
      </w:r>
      <w:r w:rsidR="000873EB" w:rsidRPr="000873EB">
        <w:rPr>
          <w:rFonts w:eastAsia="ＭＳ ゴシック" w:cs="Tahoma" w:hint="eastAsia"/>
          <w:i/>
          <w:vertAlign w:val="subscript"/>
        </w:rPr>
        <w:t>DUT</w:t>
      </w:r>
      <w:proofErr w:type="spellEnd"/>
      <w:r w:rsidR="000B5EE4">
        <w:rPr>
          <w:rFonts w:eastAsia="ＭＳ ゴシック" w:cs="Tahoma" w:hint="eastAsia"/>
        </w:rPr>
        <w:t xml:space="preserve"> and </w:t>
      </w:r>
      <w:proofErr w:type="spellStart"/>
      <w:r w:rsidR="000873EB">
        <w:rPr>
          <w:rFonts w:eastAsia="ＭＳ ゴシック" w:cs="Tahoma" w:hint="eastAsia"/>
          <w:i/>
        </w:rPr>
        <w:t>u</w:t>
      </w:r>
      <w:r w:rsidR="000B5EE4">
        <w:rPr>
          <w:rFonts w:eastAsia="ＭＳ ゴシック" w:cs="Tahoma" w:hint="eastAsia"/>
          <w:i/>
          <w:vertAlign w:val="subscript"/>
        </w:rPr>
        <w:t>CMC</w:t>
      </w:r>
      <w:proofErr w:type="spellEnd"/>
      <w:r w:rsidR="000B5EE4">
        <w:rPr>
          <w:rFonts w:eastAsia="ＭＳ ゴシック" w:cs="Tahoma" w:hint="eastAsia"/>
        </w:rPr>
        <w:t xml:space="preserve">. </w:t>
      </w:r>
    </w:p>
    <w:p w:rsidR="000B5EE4" w:rsidRDefault="000B5EE4" w:rsidP="00B645C4">
      <w:pPr>
        <w:jc w:val="left"/>
        <w:rPr>
          <w:rFonts w:eastAsia="ＭＳ ゴシック" w:cs="Tahoma"/>
        </w:rPr>
      </w:pPr>
    </w:p>
    <w:p w:rsidR="000B5EE4" w:rsidRDefault="000873EB" w:rsidP="00B645C4">
      <w:pPr>
        <w:ind w:firstLineChars="500" w:firstLine="1050"/>
        <w:jc w:val="left"/>
        <w:rPr>
          <w:rFonts w:eastAsia="ＭＳ ゴシック" w:cs="Tahoma"/>
        </w:rPr>
      </w:pPr>
      <w:r w:rsidRPr="000873EB">
        <w:rPr>
          <w:position w:val="-14"/>
        </w:rPr>
        <w:object w:dxaOrig="2180" w:dyaOrig="480">
          <v:shape id="_x0000_i1028" type="#_x0000_t75" style="width:108.75pt;height:24pt" o:ole="">
            <v:imagedata r:id="rId15" o:title=""/>
          </v:shape>
          <o:OLEObject Type="Embed" ProgID="Equation.3" ShapeID="_x0000_i1028" DrawAspect="Content" ObjectID="_1384673319" r:id="rId16"/>
        </w:object>
      </w:r>
      <w:r w:rsidR="004C2742">
        <w:rPr>
          <w:rFonts w:hint="eastAsia"/>
        </w:rPr>
        <w:t xml:space="preserve">                                      (3)</w:t>
      </w:r>
    </w:p>
    <w:p w:rsidR="000B5EE4" w:rsidRDefault="000B5EE4" w:rsidP="00B645C4">
      <w:pPr>
        <w:jc w:val="left"/>
        <w:rPr>
          <w:rFonts w:eastAsia="ＭＳ ゴシック" w:cs="Tahoma"/>
        </w:rPr>
      </w:pPr>
    </w:p>
    <w:p w:rsidR="00B645C4" w:rsidRDefault="00B645C4" w:rsidP="00152B1B">
      <w:pPr>
        <w:rPr>
          <w:rFonts w:eastAsia="ＭＳ ゴシック" w:cs="Tahoma"/>
        </w:rPr>
      </w:pPr>
      <w:r>
        <w:rPr>
          <w:rFonts w:eastAsia="ＭＳ ゴシック" w:cs="Tahoma" w:hint="eastAsia"/>
        </w:rPr>
        <w:t xml:space="preserve">The uncertainty like source </w:t>
      </w:r>
      <w:r>
        <w:rPr>
          <w:rFonts w:eastAsia="ＭＳ ゴシック" w:cs="Tahoma"/>
        </w:rPr>
        <w:t>oscillator</w:t>
      </w:r>
      <w:r>
        <w:rPr>
          <w:rFonts w:eastAsia="ＭＳ ゴシック" w:cs="Tahoma" w:hint="eastAsia"/>
        </w:rPr>
        <w:t xml:space="preserve"> stability, the uncertainty related to measurement methods can be subtracted from </w:t>
      </w:r>
      <w:proofErr w:type="spellStart"/>
      <w:r w:rsidRPr="0003249B">
        <w:rPr>
          <w:rFonts w:eastAsia="ＭＳ ゴシック" w:cs="Tahoma" w:hint="eastAsia"/>
          <w:i/>
        </w:rPr>
        <w:t>u</w:t>
      </w:r>
      <w:r>
        <w:rPr>
          <w:rFonts w:eastAsia="ＭＳ ゴシック" w:cs="Tahoma" w:hint="eastAsia"/>
          <w:i/>
          <w:vertAlign w:val="subscript"/>
        </w:rPr>
        <w:t>CMC</w:t>
      </w:r>
      <w:proofErr w:type="spellEnd"/>
      <w:r>
        <w:rPr>
          <w:rFonts w:eastAsia="ＭＳ ゴシック" w:cs="Tahoma" w:hint="eastAsia"/>
        </w:rPr>
        <w:t xml:space="preserve"> since </w:t>
      </w:r>
      <w:r>
        <w:rPr>
          <w:rFonts w:eastAsia="ＭＳ ゴシック" w:cs="Tahoma"/>
        </w:rPr>
        <w:t>those</w:t>
      </w:r>
      <w:r>
        <w:rPr>
          <w:rFonts w:eastAsia="ＭＳ ゴシック" w:cs="Tahoma" w:hint="eastAsia"/>
        </w:rPr>
        <w:t xml:space="preserve"> are doubly counted.</w:t>
      </w:r>
    </w:p>
    <w:p w:rsidR="00B645C4" w:rsidRDefault="00B645C4" w:rsidP="00152B1B">
      <w:pPr>
        <w:rPr>
          <w:rFonts w:eastAsia="ＭＳ ゴシック" w:cs="Tahoma"/>
        </w:rPr>
      </w:pPr>
      <w:r>
        <w:rPr>
          <w:rFonts w:eastAsia="ＭＳ ゴシック" w:cs="Tahoma" w:hint="eastAsia"/>
        </w:rPr>
        <w:t xml:space="preserve">Finally the expanded standard uncertainty, </w:t>
      </w:r>
      <w:r w:rsidRPr="00481A7F">
        <w:rPr>
          <w:rFonts w:eastAsia="ＭＳ ゴシック" w:cs="Tahoma" w:hint="eastAsia"/>
          <w:i/>
        </w:rPr>
        <w:t>U</w:t>
      </w:r>
      <w:r>
        <w:rPr>
          <w:rFonts w:eastAsia="ＭＳ ゴシック" w:cs="Tahoma" w:hint="eastAsia"/>
          <w:i/>
          <w:vertAlign w:val="subscript"/>
        </w:rPr>
        <w:t>CAL</w:t>
      </w:r>
      <w:r>
        <w:rPr>
          <w:rFonts w:eastAsia="ＭＳ ゴシック" w:cs="Tahoma" w:hint="eastAsia"/>
        </w:rPr>
        <w:t xml:space="preserve">, shall be obtained with coverage factor of </w:t>
      </w:r>
      <w:r w:rsidRPr="00357D1C">
        <w:rPr>
          <w:rFonts w:eastAsia="ＭＳ ゴシック" w:cs="Tahoma" w:hint="eastAsia"/>
          <w:i/>
          <w:iCs/>
          <w:color w:val="000000"/>
        </w:rPr>
        <w:t>k</w:t>
      </w:r>
      <w:r w:rsidRPr="00357D1C">
        <w:rPr>
          <w:rFonts w:eastAsia="ＭＳ ゴシック" w:cs="Tahoma" w:hint="eastAsia"/>
          <w:color w:val="000000"/>
        </w:rPr>
        <w:t>=</w:t>
      </w:r>
      <w:r>
        <w:rPr>
          <w:rFonts w:eastAsia="ＭＳ ゴシック" w:cs="Tahoma" w:hint="eastAsia"/>
        </w:rPr>
        <w:t xml:space="preserve">2 if the effective degree of freedom is large enough to satisfy about a 95 % probability. </w:t>
      </w:r>
    </w:p>
    <w:p w:rsidR="001D745B" w:rsidRDefault="001D745B" w:rsidP="00B645C4">
      <w:pPr>
        <w:jc w:val="left"/>
        <w:rPr>
          <w:rFonts w:eastAsia="ＭＳ ゴシック" w:cs="Tahoma"/>
        </w:rPr>
      </w:pPr>
    </w:p>
    <w:p w:rsidR="001D745B" w:rsidRDefault="005A2DBB" w:rsidP="001D745B">
      <w:pPr>
        <w:jc w:val="left"/>
      </w:pPr>
      <w:r>
        <w:rPr>
          <w:rFonts w:eastAsia="ＭＳ ゴシック" w:cs="Tahoma" w:hint="eastAsia"/>
        </w:rPr>
        <w:t xml:space="preserve">  </w:t>
      </w:r>
      <w:r w:rsidR="002A3E70">
        <w:rPr>
          <w:rFonts w:eastAsia="ＭＳ ゴシック" w:cs="Tahoma" w:hint="eastAsia"/>
        </w:rPr>
        <w:t xml:space="preserve"> </w:t>
      </w:r>
      <w:r w:rsidR="001D745B">
        <w:rPr>
          <w:rFonts w:eastAsia="ＭＳ ゴシック" w:cs="Tahoma" w:hint="eastAsia"/>
        </w:rPr>
        <w:t xml:space="preserve">    </w:t>
      </w:r>
      <w:r w:rsidR="001D745B">
        <w:rPr>
          <w:rFonts w:hAnsi="ＭＳ 明朝" w:hint="eastAsia"/>
        </w:rPr>
        <w:t xml:space="preserve">  </w:t>
      </w:r>
      <w:r w:rsidR="00DD2EDD" w:rsidRPr="00556D09">
        <w:rPr>
          <w:position w:val="-30"/>
        </w:rPr>
        <w:object w:dxaOrig="1380" w:dyaOrig="720">
          <v:shape id="_x0000_i1029" type="#_x0000_t75" style="width:69pt;height:36pt" o:ole="">
            <v:imagedata r:id="rId17" o:title=""/>
          </v:shape>
          <o:OLEObject Type="Embed" ProgID="Equation.3" ShapeID="_x0000_i1029" DrawAspect="Content" ObjectID="_1384673320" r:id="rId18"/>
        </w:object>
      </w:r>
    </w:p>
    <w:p w:rsidR="001D745B" w:rsidRDefault="00DD2EDD" w:rsidP="001D745B">
      <w:pPr>
        <w:ind w:firstLineChars="750" w:firstLine="1575"/>
        <w:jc w:val="left"/>
      </w:pPr>
      <w:r w:rsidRPr="005A3702">
        <w:rPr>
          <w:position w:val="-12"/>
        </w:rPr>
        <w:object w:dxaOrig="840" w:dyaOrig="360">
          <v:shape id="_x0000_i1030" type="#_x0000_t75" style="width:42pt;height:18pt" o:ole="">
            <v:imagedata r:id="rId19" o:title=""/>
          </v:shape>
          <o:OLEObject Type="Embed" ProgID="Equation.3" ShapeID="_x0000_i1030" DrawAspect="Content" ObjectID="_1384673321" r:id="rId20"/>
        </w:object>
      </w:r>
      <w:r w:rsidR="004C2742">
        <w:rPr>
          <w:rFonts w:hint="eastAsia"/>
        </w:rPr>
        <w:t xml:space="preserve">                                            (4)</w:t>
      </w:r>
    </w:p>
    <w:p w:rsidR="006819C1" w:rsidRPr="0088126E" w:rsidRDefault="006819C1" w:rsidP="00B645C4">
      <w:pPr>
        <w:jc w:val="left"/>
        <w:rPr>
          <w:rFonts w:ascii="Times New Roman" w:hAnsi="Times New Roman"/>
        </w:rPr>
      </w:pPr>
    </w:p>
    <w:sectPr w:rsidR="006819C1" w:rsidRPr="00881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7" w:rsidRDefault="00082947" w:rsidP="0023258B">
      <w:r>
        <w:separator/>
      </w:r>
    </w:p>
  </w:endnote>
  <w:endnote w:type="continuationSeparator" w:id="0">
    <w:p w:rsidR="00082947" w:rsidRDefault="00082947" w:rsidP="0023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7" w:rsidRDefault="00082947" w:rsidP="0023258B">
      <w:r>
        <w:separator/>
      </w:r>
    </w:p>
  </w:footnote>
  <w:footnote w:type="continuationSeparator" w:id="0">
    <w:p w:rsidR="00082947" w:rsidRDefault="00082947" w:rsidP="0023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49"/>
    <w:multiLevelType w:val="singleLevel"/>
    <w:tmpl w:val="58F4035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091347B8"/>
    <w:multiLevelType w:val="hybridMultilevel"/>
    <w:tmpl w:val="2CBEDD18"/>
    <w:lvl w:ilvl="0" w:tplc="F5848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256E98"/>
    <w:multiLevelType w:val="hybridMultilevel"/>
    <w:tmpl w:val="981297FE"/>
    <w:lvl w:ilvl="0" w:tplc="A00EC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F548B"/>
    <w:multiLevelType w:val="multilevel"/>
    <w:tmpl w:val="3568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340F2"/>
    <w:multiLevelType w:val="hybridMultilevel"/>
    <w:tmpl w:val="356A7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5C72C7F"/>
    <w:multiLevelType w:val="singleLevel"/>
    <w:tmpl w:val="5DEA2E5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>
    <w:nsid w:val="6EB55317"/>
    <w:multiLevelType w:val="hybridMultilevel"/>
    <w:tmpl w:val="B7C222A4"/>
    <w:lvl w:ilvl="0" w:tplc="C9FAEFB6">
      <w:start w:val="1"/>
      <w:numFmt w:val="decimal"/>
      <w:lvlText w:val="(%1)"/>
      <w:lvlJc w:val="left"/>
      <w:pPr>
        <w:ind w:left="360" w:hanging="360"/>
      </w:pPr>
      <w:rPr>
        <w:rFonts w:eastAsia="ＭＳ Ｐ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9"/>
    <w:rsid w:val="000006F1"/>
    <w:rsid w:val="00005AE0"/>
    <w:rsid w:val="00006669"/>
    <w:rsid w:val="0001113D"/>
    <w:rsid w:val="00013F28"/>
    <w:rsid w:val="00016857"/>
    <w:rsid w:val="00024A27"/>
    <w:rsid w:val="0003249B"/>
    <w:rsid w:val="00041C9F"/>
    <w:rsid w:val="00041EDD"/>
    <w:rsid w:val="000476AE"/>
    <w:rsid w:val="0006208B"/>
    <w:rsid w:val="00075CE7"/>
    <w:rsid w:val="00082947"/>
    <w:rsid w:val="00083C43"/>
    <w:rsid w:val="000873EB"/>
    <w:rsid w:val="000969BD"/>
    <w:rsid w:val="00096F4D"/>
    <w:rsid w:val="000A1A8B"/>
    <w:rsid w:val="000A2D51"/>
    <w:rsid w:val="000B5EE4"/>
    <w:rsid w:val="000D30D1"/>
    <w:rsid w:val="000D5DED"/>
    <w:rsid w:val="000D6836"/>
    <w:rsid w:val="000E6FCE"/>
    <w:rsid w:val="000F61F9"/>
    <w:rsid w:val="001015DC"/>
    <w:rsid w:val="001072E1"/>
    <w:rsid w:val="00107DB0"/>
    <w:rsid w:val="00116153"/>
    <w:rsid w:val="00117B7B"/>
    <w:rsid w:val="00124A52"/>
    <w:rsid w:val="00131D71"/>
    <w:rsid w:val="00133BEC"/>
    <w:rsid w:val="00141D1A"/>
    <w:rsid w:val="00152B1B"/>
    <w:rsid w:val="001602CB"/>
    <w:rsid w:val="00162B93"/>
    <w:rsid w:val="00170970"/>
    <w:rsid w:val="0017594C"/>
    <w:rsid w:val="00180853"/>
    <w:rsid w:val="00186A92"/>
    <w:rsid w:val="00191EF9"/>
    <w:rsid w:val="001A6A56"/>
    <w:rsid w:val="001B19E0"/>
    <w:rsid w:val="001B3A83"/>
    <w:rsid w:val="001B411A"/>
    <w:rsid w:val="001B745F"/>
    <w:rsid w:val="001C2C23"/>
    <w:rsid w:val="001C7B4E"/>
    <w:rsid w:val="001D745B"/>
    <w:rsid w:val="001F1DB9"/>
    <w:rsid w:val="002047B8"/>
    <w:rsid w:val="00204E8D"/>
    <w:rsid w:val="002059D7"/>
    <w:rsid w:val="0023258B"/>
    <w:rsid w:val="00251FA7"/>
    <w:rsid w:val="00253980"/>
    <w:rsid w:val="00262120"/>
    <w:rsid w:val="002624D6"/>
    <w:rsid w:val="00262F1C"/>
    <w:rsid w:val="00280515"/>
    <w:rsid w:val="002A3E70"/>
    <w:rsid w:val="002B35B2"/>
    <w:rsid w:val="002C0A60"/>
    <w:rsid w:val="002D364E"/>
    <w:rsid w:val="002E0C90"/>
    <w:rsid w:val="002E177F"/>
    <w:rsid w:val="002E2693"/>
    <w:rsid w:val="002E56ED"/>
    <w:rsid w:val="002F30D3"/>
    <w:rsid w:val="00311DB1"/>
    <w:rsid w:val="003134E2"/>
    <w:rsid w:val="00320FD8"/>
    <w:rsid w:val="00331814"/>
    <w:rsid w:val="00337F98"/>
    <w:rsid w:val="00357D1C"/>
    <w:rsid w:val="003716A4"/>
    <w:rsid w:val="00373E60"/>
    <w:rsid w:val="00377FA5"/>
    <w:rsid w:val="00381A2C"/>
    <w:rsid w:val="003905BD"/>
    <w:rsid w:val="00396B09"/>
    <w:rsid w:val="003A19EA"/>
    <w:rsid w:val="003B1E75"/>
    <w:rsid w:val="003D7B8F"/>
    <w:rsid w:val="003E2BBE"/>
    <w:rsid w:val="003F0340"/>
    <w:rsid w:val="003F6D8E"/>
    <w:rsid w:val="004162CE"/>
    <w:rsid w:val="0042150A"/>
    <w:rsid w:val="00455F58"/>
    <w:rsid w:val="004560B7"/>
    <w:rsid w:val="00460486"/>
    <w:rsid w:val="004640CD"/>
    <w:rsid w:val="0047298D"/>
    <w:rsid w:val="00495E72"/>
    <w:rsid w:val="004B2016"/>
    <w:rsid w:val="004B7DDA"/>
    <w:rsid w:val="004C2742"/>
    <w:rsid w:val="004D0C96"/>
    <w:rsid w:val="004D258B"/>
    <w:rsid w:val="004E48D2"/>
    <w:rsid w:val="004E4A06"/>
    <w:rsid w:val="004F0843"/>
    <w:rsid w:val="004F6EB1"/>
    <w:rsid w:val="00502618"/>
    <w:rsid w:val="0050407E"/>
    <w:rsid w:val="005061A2"/>
    <w:rsid w:val="00511B6E"/>
    <w:rsid w:val="00522172"/>
    <w:rsid w:val="00526ADC"/>
    <w:rsid w:val="0053299C"/>
    <w:rsid w:val="00542286"/>
    <w:rsid w:val="00552594"/>
    <w:rsid w:val="00554607"/>
    <w:rsid w:val="00556D09"/>
    <w:rsid w:val="00567E73"/>
    <w:rsid w:val="0059237C"/>
    <w:rsid w:val="00593805"/>
    <w:rsid w:val="00596A80"/>
    <w:rsid w:val="005A2DBB"/>
    <w:rsid w:val="005B1074"/>
    <w:rsid w:val="005D3012"/>
    <w:rsid w:val="005D64C0"/>
    <w:rsid w:val="005E031A"/>
    <w:rsid w:val="005E207C"/>
    <w:rsid w:val="005E2D27"/>
    <w:rsid w:val="005E74B6"/>
    <w:rsid w:val="006033CC"/>
    <w:rsid w:val="00603574"/>
    <w:rsid w:val="00604DD3"/>
    <w:rsid w:val="0060594A"/>
    <w:rsid w:val="00610058"/>
    <w:rsid w:val="006251CB"/>
    <w:rsid w:val="00630833"/>
    <w:rsid w:val="00654202"/>
    <w:rsid w:val="0065589A"/>
    <w:rsid w:val="0066072A"/>
    <w:rsid w:val="00663E2B"/>
    <w:rsid w:val="0066684F"/>
    <w:rsid w:val="006737F0"/>
    <w:rsid w:val="00675AB2"/>
    <w:rsid w:val="006819C1"/>
    <w:rsid w:val="006A052E"/>
    <w:rsid w:val="006A2EAA"/>
    <w:rsid w:val="006A6CF6"/>
    <w:rsid w:val="006A78EC"/>
    <w:rsid w:val="006B0584"/>
    <w:rsid w:val="006C7DEC"/>
    <w:rsid w:val="00705BB0"/>
    <w:rsid w:val="00706A8D"/>
    <w:rsid w:val="00734DC6"/>
    <w:rsid w:val="00751A91"/>
    <w:rsid w:val="007704E4"/>
    <w:rsid w:val="00773020"/>
    <w:rsid w:val="00782A17"/>
    <w:rsid w:val="007A0F7E"/>
    <w:rsid w:val="007A1FE7"/>
    <w:rsid w:val="007C6296"/>
    <w:rsid w:val="007C765F"/>
    <w:rsid w:val="007E627B"/>
    <w:rsid w:val="007F2881"/>
    <w:rsid w:val="00814541"/>
    <w:rsid w:val="00820E46"/>
    <w:rsid w:val="00821F7B"/>
    <w:rsid w:val="00822949"/>
    <w:rsid w:val="00822D3C"/>
    <w:rsid w:val="00827234"/>
    <w:rsid w:val="00827621"/>
    <w:rsid w:val="00836898"/>
    <w:rsid w:val="0084304A"/>
    <w:rsid w:val="00843C7C"/>
    <w:rsid w:val="00851169"/>
    <w:rsid w:val="00857271"/>
    <w:rsid w:val="00861574"/>
    <w:rsid w:val="008625DA"/>
    <w:rsid w:val="00864E4B"/>
    <w:rsid w:val="00872886"/>
    <w:rsid w:val="00874A78"/>
    <w:rsid w:val="0088126E"/>
    <w:rsid w:val="00884CC5"/>
    <w:rsid w:val="00885E49"/>
    <w:rsid w:val="008862CF"/>
    <w:rsid w:val="008932FB"/>
    <w:rsid w:val="00893F33"/>
    <w:rsid w:val="00894E40"/>
    <w:rsid w:val="008A1651"/>
    <w:rsid w:val="008B2F3E"/>
    <w:rsid w:val="008C329A"/>
    <w:rsid w:val="008C42A5"/>
    <w:rsid w:val="008C5BB7"/>
    <w:rsid w:val="008D0B87"/>
    <w:rsid w:val="008D234A"/>
    <w:rsid w:val="008E128B"/>
    <w:rsid w:val="008F36F4"/>
    <w:rsid w:val="00910653"/>
    <w:rsid w:val="00912B7F"/>
    <w:rsid w:val="00920538"/>
    <w:rsid w:val="00921545"/>
    <w:rsid w:val="00923877"/>
    <w:rsid w:val="0092448B"/>
    <w:rsid w:val="00924F43"/>
    <w:rsid w:val="0093400D"/>
    <w:rsid w:val="00937E01"/>
    <w:rsid w:val="0098600F"/>
    <w:rsid w:val="009870CE"/>
    <w:rsid w:val="009873CD"/>
    <w:rsid w:val="00987FEA"/>
    <w:rsid w:val="009A1827"/>
    <w:rsid w:val="009A26C9"/>
    <w:rsid w:val="009B1659"/>
    <w:rsid w:val="009B6361"/>
    <w:rsid w:val="009C73DD"/>
    <w:rsid w:val="009D2E06"/>
    <w:rsid w:val="009E42DB"/>
    <w:rsid w:val="009E579B"/>
    <w:rsid w:val="009E5DEA"/>
    <w:rsid w:val="009F11E7"/>
    <w:rsid w:val="009F6ED9"/>
    <w:rsid w:val="00A017D3"/>
    <w:rsid w:val="00A1123C"/>
    <w:rsid w:val="00A12B3D"/>
    <w:rsid w:val="00A207B9"/>
    <w:rsid w:val="00A20953"/>
    <w:rsid w:val="00A245D8"/>
    <w:rsid w:val="00A24ED9"/>
    <w:rsid w:val="00A40CA4"/>
    <w:rsid w:val="00A40D52"/>
    <w:rsid w:val="00A4476B"/>
    <w:rsid w:val="00A55F4B"/>
    <w:rsid w:val="00A57FEB"/>
    <w:rsid w:val="00A63716"/>
    <w:rsid w:val="00A75FF4"/>
    <w:rsid w:val="00A85F2C"/>
    <w:rsid w:val="00A90A34"/>
    <w:rsid w:val="00AB7958"/>
    <w:rsid w:val="00AC3A09"/>
    <w:rsid w:val="00AD1AF8"/>
    <w:rsid w:val="00AE51EE"/>
    <w:rsid w:val="00B07A7A"/>
    <w:rsid w:val="00B21D1E"/>
    <w:rsid w:val="00B33349"/>
    <w:rsid w:val="00B448B5"/>
    <w:rsid w:val="00B522FE"/>
    <w:rsid w:val="00B645C4"/>
    <w:rsid w:val="00B95C51"/>
    <w:rsid w:val="00B977C8"/>
    <w:rsid w:val="00BA14B6"/>
    <w:rsid w:val="00BB3334"/>
    <w:rsid w:val="00BB65E9"/>
    <w:rsid w:val="00BD7D83"/>
    <w:rsid w:val="00BE02D3"/>
    <w:rsid w:val="00BE0E83"/>
    <w:rsid w:val="00BF49C7"/>
    <w:rsid w:val="00C054BA"/>
    <w:rsid w:val="00C10234"/>
    <w:rsid w:val="00C13B56"/>
    <w:rsid w:val="00C22C8E"/>
    <w:rsid w:val="00C46C1F"/>
    <w:rsid w:val="00C810B8"/>
    <w:rsid w:val="00C8142D"/>
    <w:rsid w:val="00CA6A2A"/>
    <w:rsid w:val="00CA746E"/>
    <w:rsid w:val="00CC2828"/>
    <w:rsid w:val="00CD2E8F"/>
    <w:rsid w:val="00CE2096"/>
    <w:rsid w:val="00CE5794"/>
    <w:rsid w:val="00D1003C"/>
    <w:rsid w:val="00D161D9"/>
    <w:rsid w:val="00D328E0"/>
    <w:rsid w:val="00D4103F"/>
    <w:rsid w:val="00D45B19"/>
    <w:rsid w:val="00D50EB5"/>
    <w:rsid w:val="00D519E6"/>
    <w:rsid w:val="00D57C40"/>
    <w:rsid w:val="00D6077F"/>
    <w:rsid w:val="00D63D56"/>
    <w:rsid w:val="00D82F77"/>
    <w:rsid w:val="00D975CE"/>
    <w:rsid w:val="00DA399C"/>
    <w:rsid w:val="00DB734C"/>
    <w:rsid w:val="00DC5C30"/>
    <w:rsid w:val="00DD2EDD"/>
    <w:rsid w:val="00DE19A7"/>
    <w:rsid w:val="00E00221"/>
    <w:rsid w:val="00E12519"/>
    <w:rsid w:val="00E15E69"/>
    <w:rsid w:val="00E21759"/>
    <w:rsid w:val="00E35EB9"/>
    <w:rsid w:val="00E378A5"/>
    <w:rsid w:val="00E41167"/>
    <w:rsid w:val="00E447EC"/>
    <w:rsid w:val="00E533BE"/>
    <w:rsid w:val="00E56A6D"/>
    <w:rsid w:val="00E663DB"/>
    <w:rsid w:val="00E72B68"/>
    <w:rsid w:val="00E73FE5"/>
    <w:rsid w:val="00E81011"/>
    <w:rsid w:val="00E841A9"/>
    <w:rsid w:val="00EA0126"/>
    <w:rsid w:val="00EA0615"/>
    <w:rsid w:val="00EA48D3"/>
    <w:rsid w:val="00EA54CA"/>
    <w:rsid w:val="00EC01EA"/>
    <w:rsid w:val="00ED0B21"/>
    <w:rsid w:val="00ED374A"/>
    <w:rsid w:val="00ED548B"/>
    <w:rsid w:val="00EE10F9"/>
    <w:rsid w:val="00EF095D"/>
    <w:rsid w:val="00F03510"/>
    <w:rsid w:val="00F059DB"/>
    <w:rsid w:val="00F112FA"/>
    <w:rsid w:val="00F1205D"/>
    <w:rsid w:val="00F31F97"/>
    <w:rsid w:val="00F3674F"/>
    <w:rsid w:val="00F40008"/>
    <w:rsid w:val="00F4101E"/>
    <w:rsid w:val="00F43618"/>
    <w:rsid w:val="00F50A9D"/>
    <w:rsid w:val="00F81458"/>
    <w:rsid w:val="00F86B01"/>
    <w:rsid w:val="00F95642"/>
    <w:rsid w:val="00F9663F"/>
    <w:rsid w:val="00FC10A0"/>
    <w:rsid w:val="00FC51D7"/>
    <w:rsid w:val="00FD5172"/>
    <w:rsid w:val="00FE67AA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C810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3">
    <w:name w:val="Date"/>
    <w:basedOn w:val="a"/>
    <w:next w:val="a"/>
    <w:rPr>
      <w:position w:val="2"/>
      <w:sz w:val="18"/>
    </w:rPr>
  </w:style>
  <w:style w:type="character" w:styleId="a4">
    <w:name w:val="Hyperlink"/>
    <w:rsid w:val="006251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3258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3258B"/>
    <w:rPr>
      <w:kern w:val="2"/>
      <w:sz w:val="21"/>
    </w:rPr>
  </w:style>
  <w:style w:type="paragraph" w:styleId="a9">
    <w:name w:val="Balloon Text"/>
    <w:basedOn w:val="a"/>
    <w:semiHidden/>
    <w:rsid w:val="000006F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FCE"/>
    <w:pPr>
      <w:widowControl/>
      <w:spacing w:before="180" w:after="18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F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F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character" w:customStyle="1" w:styleId="10">
    <w:name w:val="見出し 1 (文字)"/>
    <w:link w:val="1"/>
    <w:uiPriority w:val="9"/>
    <w:rsid w:val="00C810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bylinepipe1">
    <w:name w:val="bylinepipe1"/>
    <w:rsid w:val="00C810B8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C810B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3">
    <w:name w:val="Date"/>
    <w:basedOn w:val="a"/>
    <w:next w:val="a"/>
    <w:rPr>
      <w:position w:val="2"/>
      <w:sz w:val="18"/>
    </w:rPr>
  </w:style>
  <w:style w:type="character" w:styleId="a4">
    <w:name w:val="Hyperlink"/>
    <w:rsid w:val="006251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3258B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32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3258B"/>
    <w:rPr>
      <w:kern w:val="2"/>
      <w:sz w:val="21"/>
    </w:rPr>
  </w:style>
  <w:style w:type="paragraph" w:styleId="a9">
    <w:name w:val="Balloon Text"/>
    <w:basedOn w:val="a"/>
    <w:semiHidden/>
    <w:rsid w:val="000006F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6FCE"/>
    <w:pPr>
      <w:widowControl/>
      <w:spacing w:before="180" w:after="18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6FC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6FC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0E6FCE"/>
    <w:rPr>
      <w:rFonts w:ascii="Arial" w:eastAsia="ＭＳ Ｐゴシック" w:hAnsi="Arial" w:cs="Arial"/>
      <w:vanish/>
      <w:sz w:val="16"/>
      <w:szCs w:val="16"/>
    </w:rPr>
  </w:style>
  <w:style w:type="character" w:customStyle="1" w:styleId="10">
    <w:name w:val="見出し 1 (文字)"/>
    <w:link w:val="1"/>
    <w:uiPriority w:val="9"/>
    <w:rsid w:val="00C810B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bylinepipe1">
    <w:name w:val="bylinepipe1"/>
    <w:rsid w:val="00C810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162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937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8592">
              <w:marLeft w:val="900"/>
              <w:marRight w:val="90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55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1EDD-0898-4B45-92B3-75016F9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NW企画</vt:lpstr>
      <vt:lpstr>NW企画</vt:lpstr>
    </vt:vector>
  </TitlesOfParts>
  <Company>ＮＴＴ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NW企画</dc:title>
  <dc:subject/>
  <dc:creator>須藤</dc:creator>
  <cp:keywords/>
  <cp:lastModifiedBy>e-tamaya</cp:lastModifiedBy>
  <cp:revision>12</cp:revision>
  <cp:lastPrinted>2000-04-11T07:10:00Z</cp:lastPrinted>
  <dcterms:created xsi:type="dcterms:W3CDTF">2011-11-25T06:34:00Z</dcterms:created>
  <dcterms:modified xsi:type="dcterms:W3CDTF">2011-12-06T01:41:00Z</dcterms:modified>
</cp:coreProperties>
</file>